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DDB" w:rsidRDefault="000A24F2">
      <w:r>
        <w:t>December 10, 2025</w:t>
      </w:r>
      <w:r w:rsidR="00DE644D">
        <w:br/>
      </w:r>
      <w:r w:rsidR="00DE644D">
        <w:br/>
        <w:t>To</w:t>
      </w:r>
      <w:proofErr w:type="gramStart"/>
      <w:r w:rsidR="00DE644D">
        <w:t>,</w:t>
      </w:r>
      <w:proofErr w:type="gramEnd"/>
      <w:r w:rsidR="00DE644D">
        <w:br/>
        <w:t>The Secretary,</w:t>
      </w:r>
      <w:r w:rsidR="00DE644D">
        <w:br/>
        <w:t>Accounting Standards Board (ASB),</w:t>
      </w:r>
      <w:r w:rsidR="00DE644D">
        <w:br/>
        <w:t>The Institute of Chartered Accountants of India,</w:t>
      </w:r>
      <w:r w:rsidR="00DE644D">
        <w:br/>
        <w:t>ICAI Bhawan, New Delhi</w:t>
      </w:r>
      <w:r w:rsidR="00DE644D">
        <w:br/>
      </w:r>
      <w:r w:rsidR="00DE644D">
        <w:br/>
        <w:t xml:space="preserve">Subject: Comments and Suggestions on Exposure Draft of Ind AS 119 – Subsidiaries without </w:t>
      </w:r>
      <w:r w:rsidR="00DE644D">
        <w:t>Public Accountability: Disclosures</w:t>
      </w:r>
      <w:r w:rsidR="00DE644D">
        <w:br/>
      </w:r>
      <w:r w:rsidR="00DE644D">
        <w:br/>
        <w:t>Dear Sir/Madam,</w:t>
      </w:r>
      <w:r w:rsidR="00DE644D">
        <w:br/>
      </w:r>
      <w:r w:rsidR="00DE644D">
        <w:br/>
        <w:t>We thank the Accounting Standards Board (ASB) for issuing the Exposure Draft of Ind AS 119 and providing stakeholders an opportunity to offer comments. Please find enclosed the detailed comments and sugg</w:t>
      </w:r>
      <w:r w:rsidR="00DE644D">
        <w:t>estions in tabular format for your consideration.</w:t>
      </w:r>
      <w:r w:rsidR="00DE644D">
        <w:br/>
      </w:r>
      <w:r w:rsidR="00DE644D">
        <w:br/>
        <w:t>We trust that our submission will contribute constructively toward the finalisation of the standard. We remain available for any further clarifications or discussions.</w:t>
      </w:r>
      <w:r w:rsidR="00DE644D">
        <w:br/>
      </w:r>
      <w:r w:rsidR="00DE644D">
        <w:br/>
        <w:t>Thanking you</w:t>
      </w:r>
      <w:proofErr w:type="gramStart"/>
      <w:r w:rsidR="00DE644D">
        <w:t>,</w:t>
      </w:r>
      <w:proofErr w:type="gramEnd"/>
      <w:r w:rsidR="00DE644D">
        <w:br/>
      </w:r>
      <w:r w:rsidR="00DE644D">
        <w:br/>
        <w:t>Yours faithfully,</w:t>
      </w:r>
      <w:r w:rsidR="00DE644D">
        <w:br/>
      </w:r>
      <w:r>
        <w:t>CA Neerav Agarwal</w:t>
      </w:r>
      <w:r>
        <w:br/>
        <w:t>Chairman</w:t>
      </w:r>
      <w:r w:rsidR="00DE644D">
        <w:br/>
        <w:t>Ahmedabad Branch of WIRC of ICAI</w:t>
      </w:r>
      <w:r w:rsidR="00DE644D">
        <w:br/>
      </w:r>
    </w:p>
    <w:p w:rsidR="000A24F2" w:rsidRDefault="000A24F2">
      <w:pPr>
        <w:pStyle w:val="Heading1"/>
      </w:pPr>
    </w:p>
    <w:p w:rsidR="000A24F2" w:rsidRDefault="000A24F2" w:rsidP="000A24F2"/>
    <w:p w:rsidR="000A24F2" w:rsidRPr="000A24F2" w:rsidRDefault="000A24F2" w:rsidP="000A24F2"/>
    <w:p w:rsidR="000A24F2" w:rsidRDefault="000A24F2">
      <w:pPr>
        <w:pStyle w:val="Heading1"/>
      </w:pPr>
    </w:p>
    <w:tbl>
      <w:tblPr>
        <w:tblW w:w="0" w:type="auto"/>
        <w:tblLook w:val="04A0"/>
      </w:tblPr>
      <w:tblGrid>
        <w:gridCol w:w="2880"/>
        <w:gridCol w:w="2880"/>
        <w:gridCol w:w="2880"/>
      </w:tblGrid>
      <w:tr w:rsidR="00F53DDB">
        <w:tc>
          <w:tcPr>
            <w:tcW w:w="2880" w:type="dxa"/>
          </w:tcPr>
          <w:p w:rsidR="000A24F2" w:rsidRPr="000A24F2" w:rsidRDefault="000A24F2">
            <w:pPr>
              <w:rPr>
                <w:b/>
              </w:rPr>
            </w:pPr>
          </w:p>
          <w:p w:rsidR="000A24F2" w:rsidRPr="000A24F2" w:rsidRDefault="000A24F2">
            <w:pPr>
              <w:rPr>
                <w:b/>
              </w:rPr>
            </w:pPr>
          </w:p>
          <w:p w:rsidR="000A24F2" w:rsidRPr="000A24F2" w:rsidRDefault="000A24F2">
            <w:pPr>
              <w:rPr>
                <w:b/>
              </w:rPr>
            </w:pPr>
          </w:p>
          <w:p w:rsidR="000A24F2" w:rsidRPr="000A24F2" w:rsidRDefault="000A24F2">
            <w:pPr>
              <w:rPr>
                <w:b/>
              </w:rPr>
            </w:pPr>
          </w:p>
          <w:p w:rsidR="00F53DDB" w:rsidRPr="000A24F2" w:rsidRDefault="00DE644D">
            <w:pPr>
              <w:rPr>
                <w:b/>
              </w:rPr>
            </w:pPr>
            <w:r w:rsidRPr="000A24F2">
              <w:rPr>
                <w:b/>
              </w:rPr>
              <w:lastRenderedPageBreak/>
              <w:t>Topic / Paragraph</w:t>
            </w:r>
          </w:p>
        </w:tc>
        <w:tc>
          <w:tcPr>
            <w:tcW w:w="2880" w:type="dxa"/>
          </w:tcPr>
          <w:p w:rsidR="000A24F2" w:rsidRPr="000A24F2" w:rsidRDefault="000A24F2">
            <w:pPr>
              <w:rPr>
                <w:b/>
              </w:rPr>
            </w:pPr>
          </w:p>
          <w:p w:rsidR="000A24F2" w:rsidRPr="000A24F2" w:rsidRDefault="000A24F2">
            <w:pPr>
              <w:rPr>
                <w:b/>
              </w:rPr>
            </w:pPr>
          </w:p>
          <w:p w:rsidR="000A24F2" w:rsidRPr="000A24F2" w:rsidRDefault="000A24F2">
            <w:pPr>
              <w:rPr>
                <w:b/>
              </w:rPr>
            </w:pPr>
          </w:p>
          <w:p w:rsidR="000A24F2" w:rsidRPr="000A24F2" w:rsidRDefault="000A24F2">
            <w:pPr>
              <w:rPr>
                <w:b/>
              </w:rPr>
            </w:pPr>
          </w:p>
          <w:p w:rsidR="00F53DDB" w:rsidRPr="000A24F2" w:rsidRDefault="00DE644D">
            <w:pPr>
              <w:rPr>
                <w:b/>
              </w:rPr>
            </w:pPr>
            <w:r w:rsidRPr="000A24F2">
              <w:rPr>
                <w:b/>
              </w:rPr>
              <w:lastRenderedPageBreak/>
              <w:t>Comments</w:t>
            </w:r>
          </w:p>
        </w:tc>
        <w:tc>
          <w:tcPr>
            <w:tcW w:w="2880" w:type="dxa"/>
          </w:tcPr>
          <w:p w:rsidR="000A24F2" w:rsidRPr="000A24F2" w:rsidRDefault="000A24F2">
            <w:pPr>
              <w:rPr>
                <w:b/>
              </w:rPr>
            </w:pPr>
          </w:p>
          <w:p w:rsidR="000A24F2" w:rsidRPr="000A24F2" w:rsidRDefault="000A24F2">
            <w:pPr>
              <w:rPr>
                <w:b/>
              </w:rPr>
            </w:pPr>
          </w:p>
          <w:p w:rsidR="000A24F2" w:rsidRPr="000A24F2" w:rsidRDefault="000A24F2">
            <w:pPr>
              <w:rPr>
                <w:b/>
              </w:rPr>
            </w:pPr>
          </w:p>
          <w:p w:rsidR="000A24F2" w:rsidRPr="000A24F2" w:rsidRDefault="000A24F2">
            <w:pPr>
              <w:rPr>
                <w:b/>
              </w:rPr>
            </w:pPr>
          </w:p>
          <w:p w:rsidR="00F53DDB" w:rsidRPr="000A24F2" w:rsidRDefault="00DE644D">
            <w:pPr>
              <w:rPr>
                <w:b/>
              </w:rPr>
            </w:pPr>
            <w:r w:rsidRPr="000A24F2">
              <w:rPr>
                <w:b/>
              </w:rPr>
              <w:lastRenderedPageBreak/>
              <w:t>Suggestions</w:t>
            </w:r>
          </w:p>
        </w:tc>
      </w:tr>
      <w:tr w:rsidR="00F53DDB">
        <w:tc>
          <w:tcPr>
            <w:tcW w:w="2880" w:type="dxa"/>
          </w:tcPr>
          <w:p w:rsidR="00F53DDB" w:rsidRDefault="00DE644D">
            <w:r>
              <w:lastRenderedPageBreak/>
              <w:t>Definition of Public Accountability</w:t>
            </w:r>
          </w:p>
        </w:tc>
        <w:tc>
          <w:tcPr>
            <w:tcW w:w="2880" w:type="dxa"/>
          </w:tcPr>
          <w:p w:rsidR="00F53DDB" w:rsidRDefault="00DE644D">
            <w:r>
              <w:t>Definition may lead to practical ambiguity for certain subsidiaries.</w:t>
            </w:r>
          </w:p>
        </w:tc>
        <w:tc>
          <w:tcPr>
            <w:tcW w:w="2880" w:type="dxa"/>
          </w:tcPr>
          <w:p w:rsidR="00F53DDB" w:rsidRDefault="00DE644D">
            <w:r>
              <w:t xml:space="preserve">Provide illustrative </w:t>
            </w:r>
            <w:r>
              <w:t>guidance/examples for better clarity.</w:t>
            </w:r>
          </w:p>
        </w:tc>
      </w:tr>
      <w:tr w:rsidR="00F53DDB">
        <w:tc>
          <w:tcPr>
            <w:tcW w:w="2880" w:type="dxa"/>
          </w:tcPr>
          <w:p w:rsidR="00F53DDB" w:rsidRDefault="00DE644D">
            <w:r>
              <w:t>Eligibility Criteria – IFRS Compliant Consolidated FS</w:t>
            </w:r>
          </w:p>
        </w:tc>
        <w:tc>
          <w:tcPr>
            <w:tcW w:w="2880" w:type="dxa"/>
          </w:tcPr>
          <w:p w:rsidR="00F53DDB" w:rsidRDefault="00DE644D">
            <w:r>
              <w:t>Uncertainty whether Ind AS consolidated statements qualify for eligibility.</w:t>
            </w:r>
          </w:p>
        </w:tc>
        <w:tc>
          <w:tcPr>
            <w:tcW w:w="2880" w:type="dxa"/>
          </w:tcPr>
          <w:p w:rsidR="00F53DDB" w:rsidRDefault="00DE644D">
            <w:r>
              <w:t>Clarify if Ind AS consolidated financials are acceptable or only IFRS-based.</w:t>
            </w:r>
          </w:p>
        </w:tc>
      </w:tr>
      <w:tr w:rsidR="00F53DDB">
        <w:tc>
          <w:tcPr>
            <w:tcW w:w="2880" w:type="dxa"/>
          </w:tcPr>
          <w:p w:rsidR="00F53DDB" w:rsidRDefault="00DE644D">
            <w:r>
              <w:t>Transitio</w:t>
            </w:r>
            <w:r>
              <w:t>n Requirements</w:t>
            </w:r>
          </w:p>
        </w:tc>
        <w:tc>
          <w:tcPr>
            <w:tcW w:w="2880" w:type="dxa"/>
          </w:tcPr>
          <w:p w:rsidR="00F53DDB" w:rsidRDefault="00DE644D">
            <w:r>
              <w:t>Prospective transition may require system adjustments.</w:t>
            </w:r>
          </w:p>
        </w:tc>
        <w:tc>
          <w:tcPr>
            <w:tcW w:w="2880" w:type="dxa"/>
          </w:tcPr>
          <w:p w:rsidR="00F53DDB" w:rsidRDefault="00DE644D">
            <w:r>
              <w:t>Allow exemption from comparative disclosures or additional transitional relief.</w:t>
            </w:r>
          </w:p>
        </w:tc>
      </w:tr>
      <w:tr w:rsidR="00F53DDB">
        <w:tc>
          <w:tcPr>
            <w:tcW w:w="2880" w:type="dxa"/>
          </w:tcPr>
          <w:p w:rsidR="00F53DDB" w:rsidRDefault="00DE644D">
            <w:r>
              <w:t>Interaction with Other Ind AS</w:t>
            </w:r>
          </w:p>
        </w:tc>
        <w:tc>
          <w:tcPr>
            <w:tcW w:w="2880" w:type="dxa"/>
          </w:tcPr>
          <w:p w:rsidR="00F53DDB" w:rsidRDefault="00DE644D">
            <w:r>
              <w:t>Reduced disclosures across multiple standards may confuse preparers.</w:t>
            </w:r>
          </w:p>
        </w:tc>
        <w:tc>
          <w:tcPr>
            <w:tcW w:w="2880" w:type="dxa"/>
          </w:tcPr>
          <w:p w:rsidR="00F53DDB" w:rsidRDefault="00DE644D">
            <w:r>
              <w:t>Provid</w:t>
            </w:r>
            <w:r>
              <w:t>e a comprehensive disclosure comparison/checklist.</w:t>
            </w:r>
          </w:p>
        </w:tc>
      </w:tr>
      <w:tr w:rsidR="00F53DDB">
        <w:tc>
          <w:tcPr>
            <w:tcW w:w="2880" w:type="dxa"/>
          </w:tcPr>
          <w:p w:rsidR="00F53DDB" w:rsidRDefault="00DE644D">
            <w:r>
              <w:t>Industry-Specific Considerations</w:t>
            </w:r>
          </w:p>
        </w:tc>
        <w:tc>
          <w:tcPr>
            <w:tcW w:w="2880" w:type="dxa"/>
          </w:tcPr>
          <w:p w:rsidR="00F53DDB" w:rsidRDefault="00DE644D">
            <w:r>
              <w:t>Certain industries may face interpretational difficulties.</w:t>
            </w:r>
          </w:p>
        </w:tc>
        <w:tc>
          <w:tcPr>
            <w:tcW w:w="2880" w:type="dxa"/>
          </w:tcPr>
          <w:p w:rsidR="00F53DDB" w:rsidRDefault="00DE644D">
            <w:r>
              <w:t>Include examples explaining impact for sector-specific entities.</w:t>
            </w:r>
          </w:p>
        </w:tc>
      </w:tr>
      <w:tr w:rsidR="00F53DDB">
        <w:tc>
          <w:tcPr>
            <w:tcW w:w="2880" w:type="dxa"/>
          </w:tcPr>
          <w:p w:rsidR="00F53DDB" w:rsidRDefault="00DE644D">
            <w:r>
              <w:t>Effective Date &amp; Early Adoption</w:t>
            </w:r>
          </w:p>
        </w:tc>
        <w:tc>
          <w:tcPr>
            <w:tcW w:w="2880" w:type="dxa"/>
          </w:tcPr>
          <w:p w:rsidR="00F53DDB" w:rsidRDefault="00DE644D">
            <w:r>
              <w:t xml:space="preserve">Standard is </w:t>
            </w:r>
            <w:r>
              <w:t>applicable from April 1, 2027.</w:t>
            </w:r>
          </w:p>
        </w:tc>
        <w:tc>
          <w:tcPr>
            <w:tcW w:w="2880" w:type="dxa"/>
          </w:tcPr>
          <w:p w:rsidR="00F53DDB" w:rsidRDefault="00DE644D">
            <w:r>
              <w:t>Explicitly permit voluntary early adoption.</w:t>
            </w:r>
          </w:p>
        </w:tc>
      </w:tr>
      <w:tr w:rsidR="00F53DDB">
        <w:tc>
          <w:tcPr>
            <w:tcW w:w="2880" w:type="dxa"/>
          </w:tcPr>
          <w:p w:rsidR="00F53DDB" w:rsidRDefault="00DE644D">
            <w:r>
              <w:t>Illustrative Disclosures</w:t>
            </w:r>
          </w:p>
        </w:tc>
        <w:tc>
          <w:tcPr>
            <w:tcW w:w="2880" w:type="dxa"/>
          </w:tcPr>
          <w:p w:rsidR="00F53DDB" w:rsidRDefault="00DE644D">
            <w:r>
              <w:t>Limited illustrations currently provided.</w:t>
            </w:r>
          </w:p>
        </w:tc>
        <w:tc>
          <w:tcPr>
            <w:tcW w:w="2880" w:type="dxa"/>
          </w:tcPr>
          <w:p w:rsidR="00F53DDB" w:rsidRDefault="00DE644D">
            <w:r>
              <w:t>Add model financial statement extracts and sample formats.</w:t>
            </w:r>
          </w:p>
        </w:tc>
      </w:tr>
      <w:tr w:rsidR="00F53DDB">
        <w:tc>
          <w:tcPr>
            <w:tcW w:w="2880" w:type="dxa"/>
          </w:tcPr>
          <w:p w:rsidR="00F53DDB" w:rsidRDefault="00DE644D">
            <w:r>
              <w:t>Cost-Benefit &amp; Eligibility Changes</w:t>
            </w:r>
          </w:p>
        </w:tc>
        <w:tc>
          <w:tcPr>
            <w:tcW w:w="2880" w:type="dxa"/>
          </w:tcPr>
          <w:p w:rsidR="00F53DDB" w:rsidRDefault="00DE644D">
            <w:r>
              <w:t>Frequent eligibili</w:t>
            </w:r>
            <w:r>
              <w:t>ty shifts may occur due to temporary events.</w:t>
            </w:r>
          </w:p>
        </w:tc>
        <w:tc>
          <w:tcPr>
            <w:tcW w:w="2880" w:type="dxa"/>
          </w:tcPr>
          <w:p w:rsidR="00F53DDB" w:rsidRDefault="00DE644D">
            <w:r>
              <w:t>Introduce a cooling-off period to avoid constant framework changes.</w:t>
            </w:r>
          </w:p>
        </w:tc>
      </w:tr>
      <w:tr w:rsidR="00F53DDB">
        <w:tc>
          <w:tcPr>
            <w:tcW w:w="2880" w:type="dxa"/>
          </w:tcPr>
          <w:p w:rsidR="00F53DDB" w:rsidRDefault="00DE644D">
            <w:r>
              <w:t>Regulatory Alignment</w:t>
            </w:r>
          </w:p>
        </w:tc>
        <w:tc>
          <w:tcPr>
            <w:tcW w:w="2880" w:type="dxa"/>
          </w:tcPr>
          <w:p w:rsidR="00F53DDB" w:rsidRDefault="00DE644D">
            <w:r>
              <w:t>Regulators may require additional disclosures.</w:t>
            </w:r>
          </w:p>
        </w:tc>
        <w:tc>
          <w:tcPr>
            <w:tcW w:w="2880" w:type="dxa"/>
          </w:tcPr>
          <w:p w:rsidR="00F53DDB" w:rsidRDefault="00DE644D">
            <w:r>
              <w:t>Clarify that Ind AS 119 reduced disclosures do not override regulatory req</w:t>
            </w:r>
            <w:r>
              <w:t>uirements.</w:t>
            </w:r>
          </w:p>
        </w:tc>
      </w:tr>
    </w:tbl>
    <w:p w:rsidR="00DE644D" w:rsidRDefault="00DE644D"/>
    <w:sectPr w:rsidR="00DE644D" w:rsidSect="0003461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8"/>
  <w:proofState w:spelling="clean" w:grammar="clean"/>
  <w:defaultTabStop w:val="720"/>
  <w:characterSpacingControl w:val="doNotCompress"/>
  <w:compat>
    <w:useFELayout/>
  </w:compat>
  <w:rsids>
    <w:rsidRoot w:val="00B47730"/>
    <w:rsid w:val="00034616"/>
    <w:rsid w:val="0006063C"/>
    <w:rsid w:val="000A24F2"/>
    <w:rsid w:val="0015074B"/>
    <w:rsid w:val="0029639D"/>
    <w:rsid w:val="00326F90"/>
    <w:rsid w:val="00AA1D8D"/>
    <w:rsid w:val="00B47730"/>
    <w:rsid w:val="00CB0664"/>
    <w:rsid w:val="00DE644D"/>
    <w:rsid w:val="00F53DDB"/>
    <w:rsid w:val="00FC69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2273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2</cp:revision>
  <dcterms:created xsi:type="dcterms:W3CDTF">2013-12-23T23:15:00Z</dcterms:created>
  <dcterms:modified xsi:type="dcterms:W3CDTF">2025-12-10T12:37:00Z</dcterms:modified>
  <cp:category/>
</cp:coreProperties>
</file>